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sz w:val="40"/>
        </w:rPr>
        <w:t>SUPPLY.</w:t>
      </w:r>
    </w:p>
    <w:p>
      <w:r>
        <w:rPr>
          <w:rFonts w:ascii="Arial" w:hAnsi="Arial"/>
          <w:b/>
          <w:sz w:val="34"/>
        </w:rPr>
        <w:t>CMR Consignment Note Working Template</w:t>
      </w:r>
    </w:p>
    <w:p>
      <w:r>
        <w:rPr>
          <w:sz w:val="18"/>
        </w:rPr>
        <w:t>Blank, editable working template for road-freight preparation.</w:t>
      </w:r>
    </w:p>
    <w:p>
      <w:r>
        <w:rPr>
          <w:b/>
          <w:sz w:val="24"/>
        </w:rPr>
        <w:t>Parties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Sender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Consignee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Carrier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Transport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Place of taking over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Place of delivery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Reference number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Goods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Packages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Gross weight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ADR / special instructions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Delivery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Reservations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POD / signature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Delivery date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Notes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0"/>
        </w:rPr>
        <w:t>Notes / additional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</w:tbl>
    <w:p>
      <w:r>
        <w:rPr>
          <w:sz w:val="14"/>
        </w:rPr>
        <w:t>SUPPLY template — editable working document. Verify applicable contractual, carrier, customs and regulatory requirements before use.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