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40"/>
        </w:rPr>
        <w:t>SUPPLY.</w:t>
      </w:r>
    </w:p>
    <w:p>
      <w:r>
        <w:rPr>
          <w:rFonts w:ascii="Arial" w:hAnsi="Arial"/>
          <w:b/>
          <w:sz w:val="34"/>
        </w:rPr>
        <w:t>Commercial Invoice Working Template</w:t>
      </w:r>
    </w:p>
    <w:p>
      <w:r>
        <w:rPr>
          <w:sz w:val="18"/>
        </w:rPr>
        <w:t>Blank, editable commercial-invoice worksheet. Use your company's compliant invoice format where required.</w:t>
      </w:r>
    </w:p>
    <w:p>
      <w:r>
        <w:rPr>
          <w:b/>
          <w:sz w:val="24"/>
        </w:rPr>
        <w:t>Parties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Seller / exporter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Buyer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Importer / consignee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Invoice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Invoice number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Invoice date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Currency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Payment terms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Incoterm + named place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Goods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Quantity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Unit value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Total value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Country of origin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HS code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References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Additional notes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Notes / additional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</w:tbl>
    <w:p>
      <w:r>
        <w:rPr>
          <w:sz w:val="14"/>
        </w:rPr>
        <w:t>SUPPLY template — editable working document. Verify applicable contractual, carrier, customs and regulatory requirements before use.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