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sz w:val="40"/>
        </w:rPr>
        <w:t>SUPPLY.</w:t>
      </w:r>
    </w:p>
    <w:p>
      <w:r>
        <w:rPr>
          <w:rFonts w:ascii="Arial" w:hAnsi="Arial"/>
          <w:b/>
          <w:sz w:val="34"/>
        </w:rPr>
        <w:t>Dangerous Goods Shipping Working Template</w:t>
      </w:r>
    </w:p>
    <w:p>
      <w:r>
        <w:rPr>
          <w:sz w:val="18"/>
        </w:rPr>
        <w:t>Blank, editable preparation worksheet for dangerous-goods shipments. Verify against current applicable ADR/IMDG requirements.</w:t>
      </w:r>
    </w:p>
    <w:p>
      <w:r>
        <w:rPr>
          <w:b/>
          <w:sz w:val="24"/>
        </w:rPr>
        <w:t>Classification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UN number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Proper shipping name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Class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Packing group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Marine pollutant / other applicable status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rPr>
          <w:b/>
          <w:sz w:val="24"/>
        </w:rPr>
        <w:t>Packaging &amp; marking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Package type / quantity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Packaging specification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Marks / labels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Transport document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rPr>
          <w:b/>
          <w:sz w:val="24"/>
        </w:rPr>
        <w:t>Transport control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Mode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Carrier acceptance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Segregation / stowage check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SDS reviewed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Competent-person review / date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rPr>
          <w:b/>
          <w:sz w:val="20"/>
        </w:rPr>
        <w:t>Notes / additional information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461"/>
        </w:trPr>
        <w:tc>
          <w:tcPr>
            <w:tcW w:type="dxa" w:w="10512"/>
          </w:tcPr>
          <w:p/>
        </w:tc>
      </w:tr>
      <w:tr>
        <w:trPr>
          <w:trHeight w:val="461"/>
        </w:trPr>
        <w:tc>
          <w:tcPr>
            <w:tcW w:type="dxa" w:w="10512"/>
          </w:tcPr>
          <w:p/>
        </w:tc>
      </w:tr>
      <w:tr>
        <w:trPr>
          <w:trHeight w:val="461"/>
        </w:trPr>
        <w:tc>
          <w:tcPr>
            <w:tcW w:type="dxa" w:w="10512"/>
          </w:tcPr>
          <w:p/>
        </w:tc>
      </w:tr>
      <w:tr>
        <w:trPr>
          <w:trHeight w:val="461"/>
        </w:trPr>
        <w:tc>
          <w:tcPr>
            <w:tcW w:type="dxa" w:w="10512"/>
          </w:tcPr>
          <w:p/>
        </w:tc>
      </w:tr>
    </w:tbl>
    <w:p>
      <w:r>
        <w:rPr>
          <w:sz w:val="14"/>
        </w:rPr>
        <w:t>SUPPLY template — editable working document. Verify applicable contractual, carrier, customs and regulatory requirements before use.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