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sz w:val="40"/>
        </w:rPr>
        <w:t>SUPPLY.</w:t>
      </w:r>
    </w:p>
    <w:p>
      <w:r>
        <w:rPr>
          <w:rFonts w:ascii="Arial" w:hAnsi="Arial"/>
          <w:b/>
          <w:sz w:val="34"/>
        </w:rPr>
        <w:t>Shipping Instruction Template</w:t>
      </w:r>
    </w:p>
    <w:p>
      <w:r>
        <w:rPr>
          <w:sz w:val="18"/>
        </w:rPr>
        <w:t>Blank, editable worksheet for preparing shipping instructions.</w:t>
      </w:r>
    </w:p>
    <w:p>
      <w:r>
        <w:rPr>
          <w:b/>
          <w:sz w:val="24"/>
        </w:rPr>
        <w:t>Parties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Booking reference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Shipper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Consignee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Notify party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Transport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Place of receipt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POL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POD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Place of delivery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Vessel / voyage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Cargo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Packages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Gross weight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Measurement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Marks &amp; numbers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Container / seal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Documentation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B/L or sea waybill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Freight terms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Release instructions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Additional instructions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0"/>
        </w:rPr>
        <w:t>Notes / additional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</w:tbl>
    <w:p>
      <w:r>
        <w:rPr>
          <w:sz w:val="14"/>
        </w:rPr>
        <w:t>SUPPLY template — editable working document. Verify applicable contractual, carrier, customs and regulatory requirements before use.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